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360" w:lineRule="auto"/>
        <w:ind w:left="2949" w:right="2951" w:firstLine="0"/>
        <w:jc w:val="center"/>
        <w:rPr/>
      </w:pPr>
      <w:r w:rsidDel="00000000" w:rsidR="00000000" w:rsidRPr="00000000">
        <w:rPr>
          <w:rtl w:val="0"/>
        </w:rPr>
        <w:t xml:space="preserve">MODELO MMD-TC Nº 11/2022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left"/>
        <w:tblInd w:w="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5"/>
        <w:gridCol w:w="8055"/>
        <w:tblGridChange w:id="0">
          <w:tblGrid>
            <w:gridCol w:w="1695"/>
            <w:gridCol w:w="8055"/>
          </w:tblGrid>
        </w:tblGridChange>
      </w:tblGrid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Declaração de garantia de qualidade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Comissão de Garantia de Qualidade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105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Bienal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56" w:line="360" w:lineRule="auto"/>
        <w:ind w:lef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56" w:line="360" w:lineRule="auto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GARANTIA DE QUALIDADE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  <w:tab w:val="left" w:pos="3335"/>
          <w:tab w:val="left" w:pos="3608"/>
        </w:tabs>
        <w:spacing w:after="0" w:before="0" w:line="360" w:lineRule="auto"/>
        <w:ind w:left="402" w:right="116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highlight w:val="whit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O Tribunal de Contas</w:t>
      </w: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aderiu ao Marco de Medição de Desempenho dos Tribunais</w:t>
      </w: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de Contas  – MMD-TC.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134" w:line="360" w:lineRule="auto"/>
        <w:ind w:left="402" w:right="120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avaliação e o controle de qualidade foram realizados por Comissões designadas pelo TC mediante Portaria nº __/___, compostas pelos seguintes membros e servidores: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0"/>
        </w:tabs>
        <w:spacing w:after="0" w:before="0" w:line="360" w:lineRule="auto"/>
        <w:ind w:left="839" w:right="0" w:hanging="36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Comissão de Avaliação: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360" w:lineRule="auto"/>
        <w:ind w:left="829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   (Relacionar, identificando o coordenador)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40"/>
        </w:tabs>
        <w:spacing w:after="0" w:before="1" w:line="360" w:lineRule="auto"/>
        <w:ind w:left="839" w:right="0" w:hanging="360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Comissão de Controle de Qualidade: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360" w:lineRule="auto"/>
        <w:ind w:left="829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   (Relacionar, identificando o coordenador)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1" w:line="360" w:lineRule="auto"/>
        <w:ind w:left="402" w:right="113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 processo de garantia de qualidade foi realizado no período de _______ a _______ sob a modalidade revisão por pares e pela equipe a seguir relacionada, integrante da Comissão designada pela Portaria Atricon nº___/___: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29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   (Relacionar, identificando o coordenador)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0" w:line="360" w:lineRule="auto"/>
        <w:ind w:left="402" w:right="113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Durante todo o processo, o TC assegurou à Comissão de Garantia de Qualidade o acesso a pessoas, documentos, informações e sistemas relevantes para o procedimento.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134" w:line="360" w:lineRule="auto"/>
        <w:ind w:left="402" w:right="113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As responsabilidades da Comissão de Garantia de Qualidade consistem, em síntese, na verificação da conformidade dos processos de avaliação e de controle de qualidade, no</w:t>
      </w:r>
      <w:r w:rsidDel="00000000" w:rsidR="00000000" w:rsidRPr="00000000">
        <w:rPr>
          <w:rtl w:val="0"/>
        </w:rPr>
        <w:t xml:space="preserve"> e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xame da consistência das evidências relativas aos indicadores componentes da amostra analisada, na seleção de boas práticas associadas ao MMD-TC, na formulação de recomendações e na expedição da Declaração da Garantia de Qualidade.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0" w:line="360" w:lineRule="auto"/>
        <w:ind w:left="402" w:right="116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Os processos de avaliação e de controle de qualidade ocorreram em conformidade com o Manual de Procedimentos do MMD-TC, não sendo detectadas inconsistências, conforme detalhado no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check-list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desta Comissão, em anexo.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spacing w:before="135" w:line="360" w:lineRule="auto"/>
        <w:ind w:firstLine="2778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OU NO CASO DE INCONSISTÊNCIAS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0" w:line="360" w:lineRule="auto"/>
        <w:ind w:left="402" w:right="113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Os processos de avaliação e de controle de qualidade ocorreram em conformidade com o Manual de Procedimentos do MMD-TC. Eventuais inconsistências detectadas foram detalhadas no 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check-list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em anexo e, quando relevantes, resultaram em recomendações desta Comissão.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4" w:before="134" w:line="360" w:lineRule="auto"/>
        <w:ind w:left="402" w:right="115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 exame da consistência das evidências, foram considerados os seguintes indicadores, integrantes da amostra selecionada pela Comissão de Coordenação-Geral do MMD-TC:</w:t>
      </w:r>
    </w:p>
    <w:tbl>
      <w:tblPr>
        <w:tblStyle w:val="Table2"/>
        <w:tblW w:w="9390.0" w:type="dxa"/>
        <w:jc w:val="left"/>
        <w:tblInd w:w="39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15"/>
        <w:gridCol w:w="1815"/>
        <w:gridCol w:w="5760"/>
        <w:tblGridChange w:id="0">
          <w:tblGrid>
            <w:gridCol w:w="1815"/>
            <w:gridCol w:w="1815"/>
            <w:gridCol w:w="5760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140.55118110236265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Domínio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.35433070866133676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 QATC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indicador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136" w:line="360" w:lineRule="auto"/>
        <w:ind w:left="402" w:right="117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Tendo em vista o conjunto de evidências apresentadas para os indicadores da amostra, as conclusões das Comissões de Avaliação e de Controle de Qualidade foram validadas por esta Comissão de Garantia de Qualidade.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spacing w:before="134" w:line="360" w:lineRule="auto"/>
        <w:ind w:firstLine="2778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OU NO CASO DE INCONSISTÊNCIAS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0" w:line="360" w:lineRule="auto"/>
        <w:ind w:left="402" w:right="117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Tendo em vista o conjunto de evidências apresentadas para os indicadores da amostra, as conclusões das Comissões de Avaliação e de Controle de Qualidade foram validadas por esta Comissão de Garantia de Qualidade, exceto as relativas aos critérios relacionados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7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5.0" w:type="dxa"/>
        <w:jc w:val="left"/>
        <w:tblInd w:w="3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"/>
        <w:gridCol w:w="1035"/>
        <w:gridCol w:w="3870"/>
        <w:gridCol w:w="1890"/>
        <w:gridCol w:w="1620"/>
        <w:tblGridChange w:id="0">
          <w:tblGrid>
            <w:gridCol w:w="990"/>
            <w:gridCol w:w="1035"/>
            <w:gridCol w:w="3870"/>
            <w:gridCol w:w="1890"/>
            <w:gridCol w:w="1620"/>
          </w:tblGrid>
        </w:tblGridChange>
      </w:tblGrid>
      <w:tr>
        <w:trPr>
          <w:cantSplit w:val="0"/>
          <w:trHeight w:val="855" w:hRule="atLeast"/>
          <w:tblHeader w:val="1"/>
        </w:trPr>
        <w:tc>
          <w:tcPr>
            <w:shd w:fill="9cc3e5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229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 QATC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Critério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Texto Critério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40.74803149606396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Avaliação TC (CCQ)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Atende?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-80.7874015748035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Avaliação CGQ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Atende?</w:t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56" w:line="360" w:lineRule="auto"/>
        <w:ind w:left="402" w:right="122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Dentre as boas práticas apresentadas pelo TC, conforme orientações do Manual do MMD- TC, sugere-se à Atricon o registro e a divulgação das relacionadas a seguir: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75.0" w:type="dxa"/>
        <w:jc w:val="left"/>
        <w:tblInd w:w="45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10"/>
        <w:gridCol w:w="2565"/>
        <w:tblGridChange w:id="0">
          <w:tblGrid>
            <w:gridCol w:w="6810"/>
            <w:gridCol w:w="2565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shd w:fill="9cc3e5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Título boas práticas</w:t>
            </w:r>
          </w:p>
        </w:tc>
        <w:tc>
          <w:tcPr>
            <w:shd w:fill="9cc3e5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6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Indicadores associados</w:t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56" w:line="360" w:lineRule="auto"/>
        <w:ind w:left="402" w:right="0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Ao final do processo de garantia de qualidade, apresentam-se as seguintes recomendações: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9"/>
        </w:tabs>
        <w:spacing w:after="0" w:before="134" w:line="360" w:lineRule="auto"/>
        <w:ind w:left="829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10.1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Ao TC: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36"/>
        </w:tabs>
        <w:spacing w:after="0" w:before="134" w:line="360" w:lineRule="auto"/>
        <w:ind w:left="1535" w:right="0" w:hanging="36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(relacionar)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59"/>
          <w:tab w:val="left" w:pos="1560"/>
        </w:tabs>
        <w:spacing w:after="0" w:before="0" w:line="360" w:lineRule="auto"/>
        <w:ind w:left="1559" w:right="0" w:hanging="73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À Atricon: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536"/>
        </w:tabs>
        <w:spacing w:after="0" w:before="134" w:line="360" w:lineRule="auto"/>
        <w:ind w:left="1535" w:right="0" w:hanging="360"/>
        <w:jc w:val="both"/>
        <w:rPr/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(relacionar)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</w:tabs>
        <w:spacing w:after="0" w:before="0" w:line="360" w:lineRule="auto"/>
        <w:ind w:left="402" w:right="118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Todas as conclusões registradas neste documento foram previamente discutidas e acordadas com os representantes da Comissão de Avaliação do TC.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  <w:tab w:val="left" w:pos="7359"/>
        </w:tabs>
        <w:spacing w:after="0" w:before="5" w:line="360" w:lineRule="auto"/>
        <w:ind w:left="402" w:right="114" w:hanging="283"/>
        <w:jc w:val="both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Considerando a adequação dos processos de avaliação e de controle de qualidade, bem como a suficiência das evidências apresentadas para os indicadores constantes da amostra analisada,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02" w:right="0" w:hanging="283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  <w:tab w:val="left" w:pos="7359"/>
        </w:tabs>
        <w:spacing w:after="0" w:before="5" w:line="360" w:lineRule="auto"/>
        <w:ind w:left="402" w:right="114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DECLARAMOS  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  <w:tab w:val="left" w:pos="7359"/>
        </w:tabs>
        <w:spacing w:after="0" w:before="5" w:line="360" w:lineRule="auto"/>
        <w:ind w:left="402" w:right="114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3"/>
          <w:tab w:val="left" w:pos="7359"/>
        </w:tabs>
        <w:spacing w:after="0" w:before="5" w:line="360" w:lineRule="auto"/>
        <w:ind w:left="402" w:right="114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que   a   avaliação   de   desempenho   do    TC ocorreu   em conformidade com o que dispõe o Manual de Aplicação do MMD-TC – ciclo ______.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119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0" w:right="119" w:firstLine="0"/>
        <w:jc w:val="righ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Local, data.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Nomes e assinaturas dos membros da Comissão de Garantia de Qualidade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360" w:lineRule="auto"/>
        <w:ind w:left="0" w:right="0" w:firstLine="0"/>
        <w:jc w:val="left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280" w:top="1820" w:left="1134" w:right="843" w:header="7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Versão 2.0 de </w:t>
    </w:r>
    <w:r w:rsidDel="00000000" w:rsidR="00000000" w:rsidRPr="00000000">
      <w:rPr>
        <w:sz w:val="18"/>
        <w:szCs w:val="18"/>
        <w:rtl w:val="0"/>
      </w:rPr>
      <w:t xml:space="preserve">03/05/2022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2015018</wp:posOffset>
          </wp:positionH>
          <wp:positionV relativeFrom="page">
            <wp:posOffset>177800</wp:posOffset>
          </wp:positionV>
          <wp:extent cx="3714750" cy="714375"/>
          <wp:effectExtent b="0" l="0" r="0" t="0"/>
          <wp:wrapNone/>
          <wp:docPr id="1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14750" cy="714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402" w:hanging="283.99999999999994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decimal"/>
      <w:lvlText w:val="%1.%2."/>
      <w:lvlJc w:val="left"/>
      <w:pPr>
        <w:ind w:left="839" w:hanging="359.99999999999994"/>
      </w:pPr>
      <w:rPr>
        <w:rFonts w:ascii="Calibri" w:cs="Calibri" w:eastAsia="Calibri" w:hAnsi="Calibri"/>
        <w:sz w:val="22"/>
        <w:szCs w:val="22"/>
      </w:rPr>
    </w:lvl>
    <w:lvl w:ilvl="2">
      <w:start w:val="0"/>
      <w:numFmt w:val="bullet"/>
      <w:lvlText w:val="•"/>
      <w:lvlJc w:val="left"/>
      <w:pPr>
        <w:ind w:left="1717" w:hanging="360"/>
      </w:pPr>
      <w:rPr/>
    </w:lvl>
    <w:lvl w:ilvl="3">
      <w:start w:val="0"/>
      <w:numFmt w:val="bullet"/>
      <w:lvlText w:val="•"/>
      <w:lvlJc w:val="left"/>
      <w:pPr>
        <w:ind w:left="2595" w:hanging="360"/>
      </w:pPr>
      <w:rPr/>
    </w:lvl>
    <w:lvl w:ilvl="4">
      <w:start w:val="0"/>
      <w:numFmt w:val="bullet"/>
      <w:lvlText w:val="•"/>
      <w:lvlJc w:val="left"/>
      <w:pPr>
        <w:ind w:left="3473" w:hanging="360"/>
      </w:pPr>
      <w:rPr/>
    </w:lvl>
    <w:lvl w:ilvl="5">
      <w:start w:val="0"/>
      <w:numFmt w:val="bullet"/>
      <w:lvlText w:val="•"/>
      <w:lvlJc w:val="left"/>
      <w:pPr>
        <w:ind w:left="4351" w:hanging="360"/>
      </w:pPr>
      <w:rPr/>
    </w:lvl>
    <w:lvl w:ilvl="6">
      <w:start w:val="0"/>
      <w:numFmt w:val="bullet"/>
      <w:lvlText w:val="•"/>
      <w:lvlJc w:val="left"/>
      <w:pPr>
        <w:ind w:left="5228" w:hanging="360"/>
      </w:pPr>
      <w:rPr/>
    </w:lvl>
    <w:lvl w:ilvl="7">
      <w:start w:val="0"/>
      <w:numFmt w:val="bullet"/>
      <w:lvlText w:val="•"/>
      <w:lvlJc w:val="left"/>
      <w:pPr>
        <w:ind w:left="6106" w:hanging="360"/>
      </w:pPr>
      <w:rPr/>
    </w:lvl>
    <w:lvl w:ilvl="8">
      <w:start w:val="0"/>
      <w:numFmt w:val="bullet"/>
      <w:lvlText w:val="•"/>
      <w:lvlJc w:val="left"/>
      <w:pPr>
        <w:ind w:left="6984" w:hanging="360"/>
      </w:pPr>
      <w:rPr/>
    </w:lvl>
  </w:abstractNum>
  <w:abstractNum w:abstractNumId="2">
    <w:lvl w:ilvl="0">
      <w:start w:val="10"/>
      <w:numFmt w:val="decimal"/>
      <w:lvlText w:val="%1"/>
      <w:lvlJc w:val="left"/>
      <w:pPr>
        <w:ind w:left="1559" w:hanging="730"/>
      </w:pPr>
      <w:rPr/>
    </w:lvl>
    <w:lvl w:ilvl="1">
      <w:start w:val="2"/>
      <w:numFmt w:val="decimal"/>
      <w:lvlText w:val="%1.%2"/>
      <w:lvlJc w:val="left"/>
      <w:pPr>
        <w:ind w:left="1559" w:hanging="730"/>
      </w:pPr>
      <w:rPr>
        <w:rFonts w:ascii="Calibri" w:cs="Calibri" w:eastAsia="Calibri" w:hAnsi="Calibri"/>
        <w:sz w:val="22"/>
        <w:szCs w:val="22"/>
      </w:rPr>
    </w:lvl>
    <w:lvl w:ilvl="2">
      <w:start w:val="1"/>
      <w:numFmt w:val="lowerLetter"/>
      <w:lvlText w:val="%3."/>
      <w:lvlJc w:val="left"/>
      <w:pPr>
        <w:ind w:left="1535" w:hanging="360"/>
      </w:pPr>
      <w:rPr>
        <w:rFonts w:ascii="Calibri" w:cs="Calibri" w:eastAsia="Calibri" w:hAnsi="Calibri"/>
        <w:sz w:val="22"/>
        <w:szCs w:val="22"/>
      </w:rPr>
    </w:lvl>
    <w:lvl w:ilvl="3">
      <w:start w:val="0"/>
      <w:numFmt w:val="bullet"/>
      <w:lvlText w:val="•"/>
      <w:lvlJc w:val="left"/>
      <w:pPr>
        <w:ind w:left="3155" w:hanging="360"/>
      </w:pPr>
      <w:rPr/>
    </w:lvl>
    <w:lvl w:ilvl="4">
      <w:start w:val="0"/>
      <w:numFmt w:val="bullet"/>
      <w:lvlText w:val="•"/>
      <w:lvlJc w:val="left"/>
      <w:pPr>
        <w:ind w:left="3953" w:hanging="360"/>
      </w:pPr>
      <w:rPr/>
    </w:lvl>
    <w:lvl w:ilvl="5">
      <w:start w:val="0"/>
      <w:numFmt w:val="bullet"/>
      <w:lvlText w:val="•"/>
      <w:lvlJc w:val="left"/>
      <w:pPr>
        <w:ind w:left="4751" w:hanging="360"/>
      </w:pPr>
      <w:rPr/>
    </w:lvl>
    <w:lvl w:ilvl="6">
      <w:start w:val="0"/>
      <w:numFmt w:val="bullet"/>
      <w:lvlText w:val="•"/>
      <w:lvlJc w:val="left"/>
      <w:pPr>
        <w:ind w:left="5548" w:hanging="360"/>
      </w:pPr>
      <w:rPr/>
    </w:lvl>
    <w:lvl w:ilvl="7">
      <w:start w:val="0"/>
      <w:numFmt w:val="bullet"/>
      <w:lvlText w:val="•"/>
      <w:lvlJc w:val="left"/>
      <w:pPr>
        <w:ind w:left="6346" w:hanging="360"/>
      </w:pPr>
      <w:rPr/>
    </w:lvl>
    <w:lvl w:ilvl="8">
      <w:start w:val="0"/>
      <w:numFmt w:val="bullet"/>
      <w:lvlText w:val="•"/>
      <w:lvlJc w:val="left"/>
      <w:pPr>
        <w:ind w:left="7144" w:hanging="360"/>
      </w:pPr>
      <w:rPr/>
    </w:lvl>
  </w:abstractNum>
  <w:abstractNum w:abstractNumId="3">
    <w:lvl w:ilvl="0">
      <w:start w:val="8"/>
      <w:numFmt w:val="decimal"/>
      <w:lvlText w:val="%1."/>
      <w:lvlJc w:val="left"/>
      <w:pPr>
        <w:ind w:left="402" w:hanging="283.99999999999994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535" w:hanging="360"/>
      </w:pPr>
      <w:rPr>
        <w:rFonts w:ascii="Calibri" w:cs="Calibri" w:eastAsia="Calibri" w:hAnsi="Calibri"/>
        <w:sz w:val="22"/>
        <w:szCs w:val="22"/>
      </w:rPr>
    </w:lvl>
    <w:lvl w:ilvl="2">
      <w:start w:val="0"/>
      <w:numFmt w:val="bullet"/>
      <w:lvlText w:val="•"/>
      <w:lvlJc w:val="left"/>
      <w:pPr>
        <w:ind w:left="1560" w:hanging="360"/>
      </w:pPr>
      <w:rPr/>
    </w:lvl>
    <w:lvl w:ilvl="3">
      <w:start w:val="0"/>
      <w:numFmt w:val="bullet"/>
      <w:lvlText w:val="•"/>
      <w:lvlJc w:val="left"/>
      <w:pPr>
        <w:ind w:left="2457" w:hanging="360"/>
      </w:pPr>
      <w:rPr/>
    </w:lvl>
    <w:lvl w:ilvl="4">
      <w:start w:val="0"/>
      <w:numFmt w:val="bullet"/>
      <w:lvlText w:val="•"/>
      <w:lvlJc w:val="left"/>
      <w:pPr>
        <w:ind w:left="3355" w:hanging="360"/>
      </w:pPr>
      <w:rPr/>
    </w:lvl>
    <w:lvl w:ilvl="5">
      <w:start w:val="0"/>
      <w:numFmt w:val="bullet"/>
      <w:lvlText w:val="•"/>
      <w:lvlJc w:val="left"/>
      <w:pPr>
        <w:ind w:left="4252" w:hanging="360"/>
      </w:pPr>
      <w:rPr/>
    </w:lvl>
    <w:lvl w:ilvl="6">
      <w:start w:val="0"/>
      <w:numFmt w:val="bullet"/>
      <w:lvlText w:val="•"/>
      <w:lvlJc w:val="left"/>
      <w:pPr>
        <w:ind w:left="5150" w:hanging="360"/>
      </w:pPr>
      <w:rPr/>
    </w:lvl>
    <w:lvl w:ilvl="7">
      <w:start w:val="0"/>
      <w:numFmt w:val="bullet"/>
      <w:lvlText w:val="•"/>
      <w:lvlJc w:val="left"/>
      <w:pPr>
        <w:ind w:left="6047" w:hanging="360"/>
      </w:pPr>
      <w:rPr/>
    </w:lvl>
    <w:lvl w:ilvl="8">
      <w:start w:val="0"/>
      <w:numFmt w:val="bullet"/>
      <w:lvlText w:val="•"/>
      <w:lvlJc w:val="left"/>
      <w:pPr>
        <w:ind w:left="6945" w:hanging="360"/>
      </w:pPr>
      <w:rPr/>
    </w:lvl>
  </w:abstractNum>
  <w:abstractNum w:abstractNumId="4">
    <w:lvl w:ilvl="0">
      <w:start w:val="6"/>
      <w:numFmt w:val="decimal"/>
      <w:lvlText w:val="%1."/>
      <w:lvlJc w:val="left"/>
      <w:pPr>
        <w:ind w:left="402" w:hanging="283.99999999999994"/>
      </w:pPr>
      <w:rPr>
        <w:rFonts w:ascii="Calibri" w:cs="Calibri" w:eastAsia="Calibri" w:hAnsi="Calibri"/>
        <w:sz w:val="22"/>
        <w:szCs w:val="22"/>
      </w:rPr>
    </w:lvl>
    <w:lvl w:ilvl="1">
      <w:start w:val="0"/>
      <w:numFmt w:val="bullet"/>
      <w:lvlText w:val="•"/>
      <w:lvlJc w:val="left"/>
      <w:pPr>
        <w:ind w:left="123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2902" w:hanging="284"/>
      </w:pPr>
      <w:rPr/>
    </w:lvl>
    <w:lvl w:ilvl="4">
      <w:start w:val="0"/>
      <w:numFmt w:val="bullet"/>
      <w:lvlText w:val="•"/>
      <w:lvlJc w:val="left"/>
      <w:pPr>
        <w:ind w:left="3736" w:hanging="283.99999999999955"/>
      </w:pPr>
      <w:rPr/>
    </w:lvl>
    <w:lvl w:ilvl="5">
      <w:start w:val="0"/>
      <w:numFmt w:val="bullet"/>
      <w:lvlText w:val="•"/>
      <w:lvlJc w:val="left"/>
      <w:pPr>
        <w:ind w:left="4570" w:hanging="284"/>
      </w:pPr>
      <w:rPr/>
    </w:lvl>
    <w:lvl w:ilvl="6">
      <w:start w:val="0"/>
      <w:numFmt w:val="bullet"/>
      <w:lvlText w:val="•"/>
      <w:lvlJc w:val="left"/>
      <w:pPr>
        <w:ind w:left="5404" w:hanging="284"/>
      </w:pPr>
      <w:rPr/>
    </w:lvl>
    <w:lvl w:ilvl="7">
      <w:start w:val="0"/>
      <w:numFmt w:val="bullet"/>
      <w:lvlText w:val="•"/>
      <w:lvlJc w:val="left"/>
      <w:pPr>
        <w:ind w:left="6238" w:hanging="284"/>
      </w:pPr>
      <w:rPr/>
    </w:lvl>
    <w:lvl w:ilvl="8">
      <w:start w:val="0"/>
      <w:numFmt w:val="bullet"/>
      <w:lvlText w:val="•"/>
      <w:lvlJc w:val="left"/>
      <w:pPr>
        <w:ind w:left="7072" w:hanging="283.9999999999991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56" w:lineRule="auto"/>
      <w:ind w:left="2778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Calibri" w:cs="Calibri" w:eastAsia="Calibri" w:hAnsi="Calibri"/>
    </w:rPr>
  </w:style>
  <w:style w:type="paragraph" w:styleId="Ttulo1">
    <w:name w:val="heading 1"/>
    <w:basedOn w:val="Normal"/>
    <w:uiPriority w:val="1"/>
    <w:qFormat w:val="1"/>
    <w:pPr>
      <w:spacing w:before="56"/>
      <w:ind w:left="2778"/>
      <w:outlineLvl w:val="0"/>
    </w:pPr>
    <w:rPr>
      <w:b w:val="1"/>
      <w:bCs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402" w:hanging="283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before="1"/>
      <w:ind w:left="105"/>
    </w:p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B85BBC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B85BBC"/>
    <w:rPr>
      <w:rFonts w:ascii="Calibri" w:cs="Calibri" w:eastAsia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B85BBC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 w:val="1"/>
    <w:rsid w:val="00B85BB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85BBC"/>
    <w:rPr>
      <w:rFonts w:ascii="Calibri" w:cs="Calibri" w:eastAsia="Calibri" w:hAnsi="Calibri"/>
    </w:rPr>
  </w:style>
  <w:style w:type="paragraph" w:styleId="Rodap">
    <w:name w:val="footer"/>
    <w:basedOn w:val="Normal"/>
    <w:link w:val="RodapChar"/>
    <w:uiPriority w:val="99"/>
    <w:unhideWhenUsed w:val="1"/>
    <w:rsid w:val="00B85BB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85BBC"/>
    <w:rPr>
      <w:rFonts w:ascii="Calibri" w:cs="Calibri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zmW9+iEtMOC2BPSzGjkct/XXXw==">AMUW2mXzW8hzykkXnjI5xuESE2eLagJ57jlcrOL/cy7+Tnwlsff64QQAP7TevuWW+cWiZR70rKXuon/l1Ww9jELF8AlezqBudpgb7c4FDUEs+n/OxjRb2t8=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2022-04-19T19:54:00Z</dcterms:created>
  <dc:creator>jandrade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Bullzip PDF Printer (11.7.0.2716)</vt:lpwstr>
  </property>
  <property fmtid="{D5CDD505-2E9C-101B-9397-08002B2CF9AE}" pid="4" name="LastSaved">
    <vt:filetime>2020-11-10T00:00:00Z</vt:filetime>
  </property>
  <property fmtid="{D5CDD505-2E9C-101B-9397-08002B2CF9AE}" pid="5" name="ContentTypeId">
    <vt:lpwstr>0x01010000D8745AC4177D4DB8D087C34DB23B68</vt:lpwstr>
  </property>
</Properties>
</file>